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1F" w:rsidRPr="008F4926" w:rsidRDefault="007D461F" w:rsidP="008F492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u w:val="single"/>
        </w:rPr>
        <w:t>Obecné nařízení o blokových výjimkách (nařízení č. 651/2014) – pracovní dokument</w:t>
      </w:r>
    </w:p>
    <w:p w:rsidR="0012665D" w:rsidRPr="008F4926" w:rsidRDefault="00B843F4" w:rsidP="008F4926">
      <w:pPr>
        <w:jc w:val="center"/>
        <w:rPr>
          <w:sz w:val="22"/>
          <w:szCs w:val="22"/>
        </w:rPr>
      </w:pPr>
      <w:r>
        <w:rPr>
          <w:b/>
          <w:sz w:val="22"/>
          <w:u w:val="single"/>
        </w:rPr>
        <w:t xml:space="preserve">Podpora na náhradu škod způsobených některými přírodními pohromami  </w:t>
      </w:r>
    </w:p>
    <w:p w:rsidR="007D461F" w:rsidRPr="008F4926" w:rsidRDefault="007D461F" w:rsidP="008F4926">
      <w:pPr>
        <w:rPr>
          <w:sz w:val="22"/>
          <w:szCs w:val="22"/>
        </w:rPr>
      </w:pPr>
      <w:r>
        <w:rPr>
          <w:sz w:val="22"/>
        </w:rPr>
        <w:t>Nejprve by měly být zkontrolovány obecné podmínky pro uplatňování obecného nařízení o blokových výjimkách (12 podmínek / články 1 až 12) A DÁLE podmínky vztahující se na  podporu na náhradu škod způsobených některými přírodními pohromami.</w:t>
      </w:r>
    </w:p>
    <w:p w:rsidR="007D461F" w:rsidRPr="008F4926" w:rsidRDefault="007D461F" w:rsidP="008F4926">
      <w:pPr>
        <w:rPr>
          <w:sz w:val="22"/>
          <w:szCs w:val="22"/>
        </w:rPr>
      </w:pPr>
    </w:p>
    <w:p w:rsidR="007D461F" w:rsidRPr="008F4926" w:rsidRDefault="007D461F" w:rsidP="008F492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u w:val="single"/>
        </w:rPr>
        <w:t>A. Obecné podmínky pro uplatňování.</w:t>
      </w:r>
    </w:p>
    <w:p w:rsidR="007D461F" w:rsidRPr="008F4926" w:rsidRDefault="007D461F" w:rsidP="008F4926">
      <w:pPr>
        <w:ind w:left="-360" w:right="-134"/>
        <w:jc w:val="both"/>
        <w:rPr>
          <w:sz w:val="22"/>
          <w:szCs w:val="22"/>
        </w:rPr>
      </w:pPr>
    </w:p>
    <w:p w:rsidR="007D461F" w:rsidRPr="008F4926" w:rsidRDefault="007D461F" w:rsidP="008F4926">
      <w:pPr>
        <w:rPr>
          <w:sz w:val="22"/>
          <w:szCs w:val="22"/>
        </w:rPr>
      </w:pPr>
    </w:p>
    <w:tbl>
      <w:tblPr>
        <w:tblW w:w="146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3"/>
        <w:gridCol w:w="6379"/>
      </w:tblGrid>
      <w:tr w:rsidR="000E10AB" w:rsidRPr="008F4926" w:rsidTr="00895393">
        <w:trPr>
          <w:trHeight w:val="145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333399"/>
          </w:tcPr>
          <w:p w:rsidR="000E10AB" w:rsidRPr="008F4926" w:rsidRDefault="00593387" w:rsidP="008F4926">
            <w:pPr>
              <w:tabs>
                <w:tab w:val="center" w:pos="3549"/>
              </w:tabs>
              <w:ind w:left="360"/>
              <w:rPr>
                <w:b/>
                <w:smallCaps/>
                <w:color w:val="FFFFFF"/>
                <w:sz w:val="22"/>
                <w:szCs w:val="22"/>
              </w:rPr>
            </w:pPr>
            <w:r>
              <w:tab/>
            </w:r>
            <w:r>
              <w:rPr>
                <w:b/>
                <w:smallCaps/>
                <w:color w:val="FFFFFF"/>
                <w:sz w:val="22"/>
              </w:rPr>
              <w:t>Obecné podmínky slučitelnosti</w:t>
            </w:r>
          </w:p>
        </w:tc>
        <w:tc>
          <w:tcPr>
            <w:tcW w:w="6379" w:type="dxa"/>
            <w:shd w:val="clear" w:color="auto" w:fill="333399"/>
          </w:tcPr>
          <w:p w:rsidR="000E10AB" w:rsidRPr="008F4926" w:rsidRDefault="000E10AB" w:rsidP="008F4926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</w:rPr>
              <w:t>Kontrola souladu (souhlasí?)</w:t>
            </w:r>
          </w:p>
        </w:tc>
      </w:tr>
      <w:tr w:rsidR="000E10AB" w:rsidRPr="008F4926" w:rsidTr="00895393">
        <w:trPr>
          <w:trHeight w:val="145"/>
        </w:trPr>
        <w:tc>
          <w:tcPr>
            <w:tcW w:w="8233" w:type="dxa"/>
            <w:shd w:val="clear" w:color="auto" w:fill="D9D9D9"/>
          </w:tcPr>
          <w:p w:rsidR="000E10AB" w:rsidRPr="008F4926" w:rsidRDefault="000E10AB" w:rsidP="008F49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Článek 1 – Vyloučení některých činností (odstavec 2)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895393">
        <w:trPr>
          <w:trHeight w:val="145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0E10AB" w:rsidRPr="008F4926" w:rsidRDefault="000E10AB" w:rsidP="008F492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u w:val="single"/>
              </w:rPr>
              <w:t>Nepoužije</w:t>
            </w:r>
            <w:r>
              <w:rPr>
                <w:sz w:val="22"/>
              </w:rPr>
              <w:t xml:space="preserve"> se:</w:t>
            </w:r>
          </w:p>
          <w:p w:rsidR="000E10AB" w:rsidRPr="008F4926" w:rsidRDefault="000E10AB" w:rsidP="008F4926">
            <w:pPr>
              <w:numPr>
                <w:ilvl w:val="0"/>
                <w:numId w:val="1"/>
              </w:numPr>
              <w:tabs>
                <w:tab w:val="clear" w:pos="720"/>
                <w:tab w:val="num" w:pos="328"/>
              </w:tabs>
              <w:ind w:left="32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na podporu činností souvisejících s vývozem; </w:t>
            </w:r>
          </w:p>
          <w:p w:rsidR="000E10AB" w:rsidRPr="008F4926" w:rsidRDefault="000E10AB" w:rsidP="008F4926">
            <w:pPr>
              <w:numPr>
                <w:ilvl w:val="0"/>
                <w:numId w:val="1"/>
              </w:numPr>
              <w:tabs>
                <w:tab w:val="clear" w:pos="720"/>
                <w:tab w:val="num" w:pos="328"/>
              </w:tabs>
              <w:ind w:left="32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na podporu podmíněnou použitím domácího zboží na úkor zboží dováženého.</w:t>
            </w:r>
          </w:p>
        </w:tc>
        <w:tc>
          <w:tcPr>
            <w:tcW w:w="6379" w:type="dxa"/>
            <w:vMerge/>
            <w:shd w:val="clear" w:color="auto" w:fill="auto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895393">
        <w:trPr>
          <w:trHeight w:val="145"/>
        </w:trPr>
        <w:tc>
          <w:tcPr>
            <w:tcW w:w="8233" w:type="dxa"/>
            <w:shd w:val="clear" w:color="auto" w:fill="D9D9D9"/>
          </w:tcPr>
          <w:p w:rsidR="000E10AB" w:rsidRPr="008F4926" w:rsidRDefault="000E10AB" w:rsidP="008F49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Článek 1 – Vyloučení některých odvětví (odstavec 3)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895393">
        <w:trPr>
          <w:trHeight w:val="145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C510B9" w:rsidRPr="008F4926" w:rsidRDefault="00C510B9" w:rsidP="008F4926">
            <w:pPr>
              <w:numPr>
                <w:ilvl w:val="0"/>
                <w:numId w:val="2"/>
              </w:numPr>
              <w:tabs>
                <w:tab w:val="clear" w:pos="720"/>
                <w:tab w:val="num" w:pos="328"/>
              </w:tabs>
              <w:ind w:left="328" w:hanging="283"/>
              <w:jc w:val="both"/>
              <w:rPr>
                <w:color w:val="FF0000"/>
                <w:sz w:val="22"/>
                <w:szCs w:val="22"/>
              </w:rPr>
            </w:pPr>
            <w:bookmarkStart w:id="0" w:name="_GoBack" w:colFirst="2" w:colLast="2"/>
            <w:r>
              <w:rPr>
                <w:sz w:val="22"/>
              </w:rPr>
              <w:t xml:space="preserve">rybolov a akvakultura* (podle nařízení č. 1379/2013); </w:t>
            </w:r>
          </w:p>
          <w:p w:rsidR="00C510B9" w:rsidRPr="008F4926" w:rsidRDefault="00C510B9" w:rsidP="008F4926">
            <w:pPr>
              <w:numPr>
                <w:ilvl w:val="0"/>
                <w:numId w:val="2"/>
              </w:numPr>
              <w:tabs>
                <w:tab w:val="clear" w:pos="720"/>
                <w:tab w:val="num" w:pos="328"/>
              </w:tabs>
              <w:ind w:left="328" w:hanging="283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prvovýroba zemědělských produktů*; </w:t>
            </w:r>
          </w:p>
          <w:p w:rsidR="00C510B9" w:rsidRPr="008F4926" w:rsidRDefault="00C510B9" w:rsidP="008F4926">
            <w:pPr>
              <w:numPr>
                <w:ilvl w:val="0"/>
                <w:numId w:val="2"/>
              </w:numPr>
              <w:tabs>
                <w:tab w:val="clear" w:pos="720"/>
                <w:tab w:val="num" w:pos="328"/>
              </w:tabs>
              <w:autoSpaceDE w:val="0"/>
              <w:autoSpaceDN w:val="0"/>
              <w:adjustRightInd w:val="0"/>
              <w:ind w:left="328" w:hanging="283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 xml:space="preserve">zpracování a uvádění zemědělských produktů na trh*, </w:t>
            </w:r>
            <w:r>
              <w:rPr>
                <w:color w:val="FF0000"/>
                <w:sz w:val="22"/>
              </w:rPr>
              <w:t>je-li výše podpory stanovena na základě ceny nebo množství těchto produktů získaných od prvovýrobců nebo uvedených na trh dotyčnými podniky; nebo je-li poskytnutí podpory závislé na podmínce, že bude zčásti nebo zcela předána prvovýrobcům;</w:t>
            </w:r>
          </w:p>
          <w:p w:rsidR="00C510B9" w:rsidRPr="008F4926" w:rsidRDefault="00C510B9" w:rsidP="008F4926">
            <w:pPr>
              <w:numPr>
                <w:ilvl w:val="0"/>
                <w:numId w:val="2"/>
              </w:numPr>
              <w:tabs>
                <w:tab w:val="clear" w:pos="720"/>
                <w:tab w:val="num" w:pos="328"/>
              </w:tabs>
              <w:ind w:left="32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podpora k usnadnění uzavírání nekonkurenceschopných uhelných dolů (rozhodnutí Rady 2010/787).</w:t>
            </w:r>
          </w:p>
          <w:p w:rsidR="000E10AB" w:rsidRPr="008F4926" w:rsidRDefault="00C510B9" w:rsidP="008F4926">
            <w:pPr>
              <w:tabs>
                <w:tab w:val="num" w:pos="328"/>
              </w:tabs>
              <w:ind w:left="328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</w:rPr>
              <w:t xml:space="preserve">* </w:t>
            </w:r>
            <w:r>
              <w:rPr>
                <w:i/>
                <w:sz w:val="22"/>
              </w:rPr>
              <w:t>Pokud je podnik činný rovněž v odvětvích, která spadají do působnosti tohoto nařízení, použije se toto nařízení na podporu poskytovanou na tato odvětví za předpokladu, že členské státy zajistí, aby činnosti ve vyňatých odvětvích nebyly předmětem podpory.</w:t>
            </w:r>
          </w:p>
        </w:tc>
        <w:tc>
          <w:tcPr>
            <w:tcW w:w="6379" w:type="dxa"/>
            <w:vMerge/>
            <w:shd w:val="clear" w:color="auto" w:fill="auto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bookmarkEnd w:id="0"/>
      <w:tr w:rsidR="000E10AB" w:rsidRPr="008F4926" w:rsidTr="00895393">
        <w:trPr>
          <w:trHeight w:val="145"/>
        </w:trPr>
        <w:tc>
          <w:tcPr>
            <w:tcW w:w="8233" w:type="dxa"/>
            <w:shd w:val="clear" w:color="auto" w:fill="D9D9D9"/>
          </w:tcPr>
          <w:p w:rsidR="000E10AB" w:rsidRPr="008F4926" w:rsidRDefault="000E10AB" w:rsidP="008F49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Článek 1 – Vyloučení podniků, na které se vztahuje </w:t>
            </w:r>
            <w:proofErr w:type="spellStart"/>
            <w:r>
              <w:rPr>
                <w:b/>
                <w:sz w:val="22"/>
              </w:rPr>
              <w:t>deggendorfské</w:t>
            </w:r>
            <w:proofErr w:type="spellEnd"/>
            <w:r>
              <w:rPr>
                <w:b/>
                <w:sz w:val="22"/>
              </w:rPr>
              <w:t xml:space="preserve"> pravidlo (odstavec 4)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895393">
        <w:trPr>
          <w:trHeight w:val="145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0E10AB" w:rsidRPr="008F4926" w:rsidRDefault="00B10125" w:rsidP="008F49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Nepoužije se  </w:t>
            </w:r>
          </w:p>
        </w:tc>
        <w:tc>
          <w:tcPr>
            <w:tcW w:w="6379" w:type="dxa"/>
            <w:vMerge/>
            <w:shd w:val="clear" w:color="auto" w:fill="auto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166821">
        <w:trPr>
          <w:trHeight w:val="145"/>
        </w:trPr>
        <w:tc>
          <w:tcPr>
            <w:tcW w:w="8233" w:type="dxa"/>
            <w:shd w:val="clear" w:color="auto" w:fill="D9D9D9"/>
          </w:tcPr>
          <w:p w:rsidR="000E10AB" w:rsidRPr="008F4926" w:rsidRDefault="000E10AB" w:rsidP="008F49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Článek 1 – Vyloučení podniků v obtížích (odstavec 4)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166821">
        <w:trPr>
          <w:trHeight w:val="489"/>
        </w:trPr>
        <w:tc>
          <w:tcPr>
            <w:tcW w:w="8233" w:type="dxa"/>
            <w:tcBorders>
              <w:bottom w:val="single" w:sz="4" w:space="0" w:color="auto"/>
            </w:tcBorders>
          </w:tcPr>
          <w:p w:rsidR="000E10AB" w:rsidRPr="008F4926" w:rsidRDefault="00B10125" w:rsidP="00B101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Nepoužije se</w:t>
            </w:r>
          </w:p>
        </w:tc>
        <w:tc>
          <w:tcPr>
            <w:tcW w:w="6379" w:type="dxa"/>
            <w:vMerge/>
            <w:shd w:val="clear" w:color="auto" w:fill="FFFFFF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895393">
        <w:trPr>
          <w:trHeight w:val="145"/>
        </w:trPr>
        <w:tc>
          <w:tcPr>
            <w:tcW w:w="8233" w:type="dxa"/>
            <w:shd w:val="clear" w:color="auto" w:fill="D9D9D9"/>
          </w:tcPr>
          <w:p w:rsidR="000E10AB" w:rsidRPr="008F4926" w:rsidRDefault="000E10AB" w:rsidP="0028414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Článek 1 – Vyloučení opatření podpory, která porušují právní předpisy Unie (odstavec 5)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895393">
        <w:trPr>
          <w:trHeight w:val="145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0E10AB" w:rsidRPr="008F4926" w:rsidRDefault="00C510B9" w:rsidP="008F4926">
            <w:pPr>
              <w:autoSpaceDE w:val="0"/>
              <w:autoSpaceDN w:val="0"/>
              <w:adjustRightInd w:val="0"/>
              <w:rPr>
                <w:rFonts w:ascii="EUAlbertina-Regu" w:hAnsi="EUAlbertina-Regu" w:cs="EUAlbertina-Regu"/>
                <w:sz w:val="22"/>
                <w:szCs w:val="22"/>
              </w:rPr>
            </w:pPr>
            <w:r>
              <w:rPr>
                <w:b/>
                <w:sz w:val="22"/>
              </w:rPr>
              <w:t>Nepoužije</w:t>
            </w:r>
            <w:r>
              <w:rPr>
                <w:sz w:val="22"/>
              </w:rPr>
              <w:t xml:space="preserve"> se na opatření státní podpory, která vedou k porušení práva Unie, jež je s těmito opatřeními neoddělitelně spjato, zejména:</w:t>
            </w:r>
          </w:p>
          <w:p w:rsidR="000E10AB" w:rsidRPr="008F4926" w:rsidRDefault="000E10AB" w:rsidP="008F49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a) povinnost příjemce mít ústředí v příslušném členském státě nebo být usazen převážně v tomto členském státě.</w:t>
            </w:r>
            <w:r>
              <w:rPr>
                <w:sz w:val="22"/>
              </w:rPr>
              <w:t xml:space="preserve"> Přípustný je však požadavek, aby v okamžiku vyplacení podpory měl příjemce v členském státě, jenž podporu poskytuje, provozovnu či pobočku;</w:t>
            </w:r>
          </w:p>
          <w:p w:rsidR="000E10AB" w:rsidRPr="008F4926" w:rsidRDefault="000E10AB" w:rsidP="008F49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b) povinnost používat domácí zboží nebo služby;</w:t>
            </w:r>
          </w:p>
          <w:p w:rsidR="000E10AB" w:rsidRPr="008F4926" w:rsidRDefault="000E10AB" w:rsidP="008F49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c) omezení možnosti příjemců využívat v jiných členských státech výsledků výzkumu, vývoje a inovací.</w:t>
            </w:r>
          </w:p>
        </w:tc>
        <w:tc>
          <w:tcPr>
            <w:tcW w:w="6379" w:type="dxa"/>
            <w:vMerge/>
            <w:shd w:val="clear" w:color="auto" w:fill="auto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166821">
        <w:trPr>
          <w:trHeight w:val="271"/>
        </w:trPr>
        <w:tc>
          <w:tcPr>
            <w:tcW w:w="8233" w:type="dxa"/>
            <w:shd w:val="clear" w:color="auto" w:fill="D9D9D9"/>
          </w:tcPr>
          <w:p w:rsidR="000E10AB" w:rsidRPr="008F4926" w:rsidRDefault="000E10AB" w:rsidP="008F49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Článek 4 – Individuální prahové hodnoty oznamovací povinnosti</w:t>
            </w:r>
          </w:p>
        </w:tc>
        <w:tc>
          <w:tcPr>
            <w:tcW w:w="6379" w:type="dxa"/>
            <w:shd w:val="clear" w:color="auto" w:fill="D9D9D9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895393">
        <w:trPr>
          <w:trHeight w:val="271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0E10AB" w:rsidRPr="008F4926" w:rsidRDefault="008F4926" w:rsidP="008F4926">
            <w:pPr>
              <w:rPr>
                <w:sz w:val="22"/>
                <w:szCs w:val="22"/>
              </w:rPr>
            </w:pPr>
            <w:r>
              <w:rPr>
                <w:sz w:val="22"/>
              </w:rPr>
              <w:t>Nepoužije se</w:t>
            </w:r>
          </w:p>
        </w:tc>
        <w:tc>
          <w:tcPr>
            <w:tcW w:w="6379" w:type="dxa"/>
            <w:shd w:val="clear" w:color="auto" w:fill="auto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166821">
        <w:trPr>
          <w:trHeight w:val="344"/>
        </w:trPr>
        <w:tc>
          <w:tcPr>
            <w:tcW w:w="8233" w:type="dxa"/>
            <w:shd w:val="clear" w:color="auto" w:fill="D9D9D9"/>
          </w:tcPr>
          <w:p w:rsidR="000E10AB" w:rsidRPr="008F4926" w:rsidRDefault="000E10AB" w:rsidP="008F49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Článek 5 – Transparentnost podpory </w:t>
            </w:r>
          </w:p>
        </w:tc>
        <w:tc>
          <w:tcPr>
            <w:tcW w:w="6379" w:type="dxa"/>
            <w:shd w:val="clear" w:color="auto" w:fill="D9D9D9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895393">
        <w:trPr>
          <w:trHeight w:val="344"/>
        </w:trPr>
        <w:tc>
          <w:tcPr>
            <w:tcW w:w="8233" w:type="dxa"/>
            <w:shd w:val="clear" w:color="auto" w:fill="auto"/>
          </w:tcPr>
          <w:p w:rsidR="000E10AB" w:rsidRPr="008F4926" w:rsidRDefault="000E10AB" w:rsidP="008F49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Použije se pouze na transparentní podporu; za transparentní se považují:</w:t>
            </w:r>
          </w:p>
          <w:p w:rsidR="000E10AB" w:rsidRPr="008F4926" w:rsidRDefault="000E10AB" w:rsidP="00B65C94">
            <w:pPr>
              <w:numPr>
                <w:ilvl w:val="0"/>
                <w:numId w:val="5"/>
              </w:numPr>
              <w:tabs>
                <w:tab w:val="clear" w:pos="720"/>
                <w:tab w:val="num" w:pos="328"/>
              </w:tabs>
              <w:ind w:left="32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dotace a subvence úrokových sazeb;</w:t>
            </w:r>
          </w:p>
          <w:p w:rsidR="000E10AB" w:rsidRPr="008F4926" w:rsidRDefault="000E10AB" w:rsidP="008F4926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půjčky (u nichž se hrubý grantový ekvivalent vypočítá na základě referenční sazby platné v době poskytnutí podpory);</w:t>
            </w:r>
          </w:p>
          <w:p w:rsidR="000E10AB" w:rsidRPr="008F4926" w:rsidRDefault="000E10AB" w:rsidP="008F4926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záruky </w:t>
            </w:r>
          </w:p>
          <w:p w:rsidR="000E10AB" w:rsidRPr="008F4926" w:rsidRDefault="000E10AB" w:rsidP="008F4926">
            <w:pPr>
              <w:tabs>
                <w:tab w:val="num" w:pos="470"/>
              </w:tabs>
              <w:ind w:left="328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(u nichž byl hrubý grantový ekvivalent vypočítán na základě prémií „</w:t>
            </w:r>
            <w:proofErr w:type="spellStart"/>
            <w:r>
              <w:rPr>
                <w:sz w:val="22"/>
              </w:rPr>
              <w:t>safe-harbour</w:t>
            </w:r>
            <w:proofErr w:type="spellEnd"/>
            <w:r>
              <w:rPr>
                <w:sz w:val="22"/>
              </w:rPr>
              <w:t xml:space="preserve">“ stanovených ve sdělení Komise, </w:t>
            </w:r>
          </w:p>
          <w:p w:rsidR="000E10AB" w:rsidRPr="008F4926" w:rsidRDefault="000E10AB" w:rsidP="008F4926">
            <w:pPr>
              <w:tabs>
                <w:tab w:val="num" w:pos="328"/>
              </w:tabs>
              <w:ind w:left="32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nebo </w:t>
            </w:r>
          </w:p>
          <w:p w:rsidR="000E10AB" w:rsidRPr="008F4926" w:rsidRDefault="000E10AB" w:rsidP="008F4926">
            <w:pPr>
              <w:tabs>
                <w:tab w:val="num" w:pos="328"/>
              </w:tabs>
              <w:ind w:left="328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u nichž byl hrubý grantový ekvivalent schválen před provedením opatření na základě sdělení Komise o zárukách a schválená metodika výpočtu se výslovně týká daného typu záruky a daného typu hlavní transakce, o něž se v souvislosti s uplatňováním obecného nařízení o blokových výjimkách jedná);</w:t>
            </w:r>
          </w:p>
          <w:p w:rsidR="000E10AB" w:rsidRPr="008F4926" w:rsidRDefault="000E10AB" w:rsidP="008F4926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daňová zvýhodnění (pokud je stanovena horní mez, která zajišťuje, že nebude překročena příslušná prahová hodnota);</w:t>
            </w:r>
          </w:p>
          <w:p w:rsidR="000E10AB" w:rsidRPr="008F4926" w:rsidRDefault="000E10AB" w:rsidP="008F4926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autoSpaceDE w:val="0"/>
              <w:autoSpaceDN w:val="0"/>
              <w:adjustRightInd w:val="0"/>
              <w:ind w:left="328" w:hanging="28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vratné zálohy (pokud celková nominální výše vratné zálohy nepřesahuje příslušné </w:t>
            </w:r>
            <w:r>
              <w:rPr>
                <w:sz w:val="22"/>
              </w:rPr>
              <w:lastRenderedPageBreak/>
              <w:t>prahové hodnoty podle tohoto nařízení, nebo pokud byla předtím, než bylo opatření provedeno, Komisi oznámena metodika pro výpočet hrubého grantového ekvivalentu vratné zálohy a Komise tuto metodiku schválila).</w:t>
            </w:r>
          </w:p>
        </w:tc>
        <w:tc>
          <w:tcPr>
            <w:tcW w:w="6379" w:type="dxa"/>
            <w:shd w:val="clear" w:color="auto" w:fill="auto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F47FF9">
        <w:trPr>
          <w:trHeight w:val="271"/>
        </w:trPr>
        <w:tc>
          <w:tcPr>
            <w:tcW w:w="8233" w:type="dxa"/>
            <w:shd w:val="clear" w:color="auto" w:fill="D9D9D9"/>
          </w:tcPr>
          <w:p w:rsidR="000E10AB" w:rsidRPr="008F4926" w:rsidRDefault="000E10AB" w:rsidP="008F49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lastRenderedPageBreak/>
              <w:t xml:space="preserve">Článek 6 – Motivační účinek </w:t>
            </w:r>
          </w:p>
        </w:tc>
        <w:tc>
          <w:tcPr>
            <w:tcW w:w="6379" w:type="dxa"/>
            <w:shd w:val="clear" w:color="auto" w:fill="D9D9D9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895393">
        <w:trPr>
          <w:trHeight w:val="271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0E10AB" w:rsidRPr="008F4926" w:rsidRDefault="00485C2C" w:rsidP="00485C2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Musí být splněny podmínky stanovené v článku 50.</w:t>
            </w:r>
          </w:p>
        </w:tc>
        <w:tc>
          <w:tcPr>
            <w:tcW w:w="6379" w:type="dxa"/>
            <w:shd w:val="clear" w:color="auto" w:fill="auto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166821">
        <w:trPr>
          <w:trHeight w:val="344"/>
        </w:trPr>
        <w:tc>
          <w:tcPr>
            <w:tcW w:w="8233" w:type="dxa"/>
            <w:shd w:val="clear" w:color="auto" w:fill="D9D9D9"/>
          </w:tcPr>
          <w:p w:rsidR="000E10AB" w:rsidRPr="008F4926" w:rsidRDefault="000E10AB" w:rsidP="008F49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Článek 7 – Způsobilé náklady</w:t>
            </w:r>
          </w:p>
        </w:tc>
        <w:tc>
          <w:tcPr>
            <w:tcW w:w="6379" w:type="dxa"/>
            <w:shd w:val="clear" w:color="auto" w:fill="D9D9D9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895393">
        <w:trPr>
          <w:trHeight w:val="1101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3A0DE8" w:rsidRPr="008F4926" w:rsidRDefault="008F4926" w:rsidP="008F49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Pro účely výpočtu intenzity podpory</w:t>
            </w:r>
          </w:p>
          <w:p w:rsidR="003A0DE8" w:rsidRPr="008F4926" w:rsidRDefault="001B4E1A" w:rsidP="00B65C9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Číselné údaje před srážkou daně nebo jiných poplatků.</w:t>
            </w:r>
          </w:p>
          <w:p w:rsidR="003A0DE8" w:rsidRPr="008F4926" w:rsidRDefault="003A0DE8" w:rsidP="00B65C9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Je-li podpora poskytnuta jinou formou než formou grantu, stanoví se její výše jako hrubý grantový ekvivalent podpory.</w:t>
            </w:r>
          </w:p>
          <w:p w:rsidR="003A0DE8" w:rsidRPr="008F4926" w:rsidRDefault="003A0DE8" w:rsidP="00B65C9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Podpora splatná v několika splátkách se diskontuje na svou hodnotu v okamžiku poskytnutí (totéž pro způsobilé náklady a s úrokovými sazbami platnými v okamžiku poskytnutí). </w:t>
            </w:r>
          </w:p>
          <w:p w:rsidR="003A0DE8" w:rsidRPr="008F4926" w:rsidRDefault="003A0DE8" w:rsidP="00B65C9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Jednotlivé tranše podpory formou daňových zvýhodnění jsou diskontovány pomocí diskontní sazby platné v době, kdy nastala účinnost daňového zvýhodnění.</w:t>
            </w:r>
          </w:p>
          <w:p w:rsidR="003A0DE8" w:rsidRPr="008F4926" w:rsidRDefault="003A0DE8" w:rsidP="00B65C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Je-li podpora poskytnuta formou vratných záloh, které jsou vzhledem k neexistenci schválené metodiky pro výpočet jejich hrubého grantového ekvivalentu vyjádřeny procentem způsobilých nákladů, a jestliže opatření stanoví, že v případě úspěšného výsledku projektu, stanoveného na základě přiměřené a uvážlivé hypotézy, budou zálohy vráceny spolu s úroky, jejichž sazba bude stanovena alespoň ve výši diskontní sazby platné v době, kdy je podpora poskytnuta, lze maximální intenzitu podpory navýšit o 10 procentních bodů.</w:t>
            </w:r>
          </w:p>
          <w:p w:rsidR="003A0DE8" w:rsidRPr="008F4926" w:rsidRDefault="003A0DE8" w:rsidP="008F49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Způsobilé náklady a dokumentace</w:t>
            </w:r>
          </w:p>
          <w:p w:rsidR="000E10AB" w:rsidRPr="008F4926" w:rsidRDefault="003A0DE8" w:rsidP="00B65C94">
            <w:pPr>
              <w:numPr>
                <w:ilvl w:val="0"/>
                <w:numId w:val="11"/>
              </w:numPr>
              <w:ind w:left="32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Způsobilé náklady doložené doklady, které jsou jasné, konkrétní a aktuální. </w:t>
            </w:r>
          </w:p>
        </w:tc>
        <w:tc>
          <w:tcPr>
            <w:tcW w:w="6379" w:type="dxa"/>
            <w:shd w:val="clear" w:color="auto" w:fill="auto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166821">
        <w:trPr>
          <w:trHeight w:val="271"/>
        </w:trPr>
        <w:tc>
          <w:tcPr>
            <w:tcW w:w="8233" w:type="dxa"/>
            <w:shd w:val="clear" w:color="auto" w:fill="D9D9D9"/>
          </w:tcPr>
          <w:p w:rsidR="000E10AB" w:rsidRPr="008F4926" w:rsidRDefault="000E10AB" w:rsidP="008F49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Článek 8 – Kumulace</w:t>
            </w:r>
          </w:p>
        </w:tc>
        <w:tc>
          <w:tcPr>
            <w:tcW w:w="6379" w:type="dxa"/>
            <w:shd w:val="clear" w:color="auto" w:fill="D9D9D9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0E10AB" w:rsidRPr="008F4926" w:rsidTr="00895393">
        <w:trPr>
          <w:trHeight w:val="271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59608C" w:rsidRPr="008F4926" w:rsidRDefault="0059608C" w:rsidP="00B65C94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t xml:space="preserve">U prahových hodnot a maximální intenzity podpory se přihlíží k </w:t>
            </w:r>
            <w:r>
              <w:rPr>
                <w:b/>
                <w:sz w:val="22"/>
              </w:rPr>
              <w:t>celkové výši</w:t>
            </w:r>
            <w:r>
              <w:t xml:space="preserve"> podpory (odstavec 1).</w:t>
            </w:r>
          </w:p>
          <w:p w:rsidR="0059608C" w:rsidRPr="008F4926" w:rsidRDefault="0059608C" w:rsidP="00B65C9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Je-li financování z prostředků Unie</w:t>
            </w:r>
            <w:r>
              <w:rPr>
                <w:sz w:val="22"/>
              </w:rPr>
              <w:t xml:space="preserve"> (které není pod kontrolou členských států) kombinováno se státní podporou, pak je při určování, zda jsou dodrženy prahové hodnoty oznamovací povinnosti a maximální intenzita či výše podpory, brána v potaz pouze tato státní podpora, a to za předpokladu, že celková výše veřejných finančních </w:t>
            </w:r>
            <w:r>
              <w:rPr>
                <w:sz w:val="22"/>
              </w:rPr>
              <w:lastRenderedPageBreak/>
              <w:t>prostředků poskytnutých k úhradě týchž způsobilých nákladů nepřekračuje nejvýhodnější sazbu financování, kterou stanoví použitelná ustanovení práva Unie (odstavec 2).</w:t>
            </w:r>
          </w:p>
          <w:p w:rsidR="0059608C" w:rsidRPr="008F4926" w:rsidRDefault="0059608C" w:rsidP="00B65C94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Vyňatou podporu lze kumulovat s jinou státní podporou, pokud se tato opatření týkají </w:t>
            </w:r>
            <w:r>
              <w:rPr>
                <w:b/>
                <w:sz w:val="22"/>
              </w:rPr>
              <w:t>různých identifikovatelných nákladů</w:t>
            </w:r>
            <w:r>
              <w:rPr>
                <w:sz w:val="22"/>
              </w:rPr>
              <w:t xml:space="preserve"> (odst. 3 písm. a)).</w:t>
            </w:r>
          </w:p>
          <w:p w:rsidR="0059608C" w:rsidRPr="008F4926" w:rsidRDefault="0059608C" w:rsidP="00B65C94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Vyňatou podporu nelze kumulovat s jinou podporou na úhradu </w:t>
            </w:r>
            <w:r>
              <w:rPr>
                <w:b/>
                <w:sz w:val="22"/>
              </w:rPr>
              <w:t>týchž</w:t>
            </w:r>
            <w:r>
              <w:rPr>
                <w:sz w:val="22"/>
              </w:rPr>
              <w:t xml:space="preserve"> – částečně či plně se překrývajících – </w:t>
            </w:r>
            <w:r>
              <w:rPr>
                <w:b/>
                <w:sz w:val="22"/>
              </w:rPr>
              <w:t>způsobilých nákladů</w:t>
            </w:r>
            <w:r>
              <w:rPr>
                <w:sz w:val="22"/>
              </w:rPr>
              <w:t>, vede-li taková kumulace k překročení nejvyšší intenzity nebo výše podpory, která se na danou podporu použije (odst. 3 písm. b)).</w:t>
            </w:r>
          </w:p>
          <w:p w:rsidR="000E10AB" w:rsidRPr="008F4926" w:rsidRDefault="0059608C" w:rsidP="00B65C94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Státní podporu vyňatou obecným nařízením o blokových výjimkách nelze kumulovat s podporou </w:t>
            </w:r>
            <w:r>
              <w:rPr>
                <w:b/>
                <w:i/>
                <w:sz w:val="22"/>
              </w:rPr>
              <w:t xml:space="preserve">de </w:t>
            </w:r>
            <w:proofErr w:type="spellStart"/>
            <w:r>
              <w:rPr>
                <w:b/>
                <w:i/>
                <w:sz w:val="22"/>
              </w:rPr>
              <w:t>minimis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na tytéž způsobilé náklady, pokud by taková kumulace vedla k překročení intenzity podpory stanovené v kapitole III obecného nařízení o blokových výjimkách (odstavec 5).</w:t>
            </w:r>
          </w:p>
        </w:tc>
        <w:tc>
          <w:tcPr>
            <w:tcW w:w="6379" w:type="dxa"/>
            <w:shd w:val="clear" w:color="auto" w:fill="auto"/>
          </w:tcPr>
          <w:p w:rsidR="000E10AB" w:rsidRPr="008F4926" w:rsidRDefault="000E10AB" w:rsidP="008F4926">
            <w:pPr>
              <w:rPr>
                <w:sz w:val="22"/>
                <w:szCs w:val="22"/>
              </w:rPr>
            </w:pPr>
          </w:p>
        </w:tc>
      </w:tr>
      <w:tr w:rsidR="00B54FC3" w:rsidRPr="002B692E" w:rsidTr="00166821">
        <w:trPr>
          <w:trHeight w:val="271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4FC3" w:rsidRPr="002B692E" w:rsidRDefault="00B54FC3" w:rsidP="00B54FC3">
            <w:pPr>
              <w:tabs>
                <w:tab w:val="num" w:pos="360"/>
              </w:tabs>
              <w:ind w:left="360" w:hanging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lastRenderedPageBreak/>
              <w:t xml:space="preserve">Článek 9 – Zveřejňování a informování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4FC3" w:rsidRPr="002B692E" w:rsidRDefault="00B54FC3" w:rsidP="003E5D21">
            <w:pPr>
              <w:rPr>
                <w:sz w:val="22"/>
                <w:szCs w:val="22"/>
              </w:rPr>
            </w:pPr>
          </w:p>
        </w:tc>
      </w:tr>
      <w:tr w:rsidR="00B54FC3" w:rsidRPr="002B692E" w:rsidTr="00B54FC3">
        <w:trPr>
          <w:trHeight w:val="271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B65C94" w:rsidRDefault="00B54FC3" w:rsidP="00B65C9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28" w:hanging="328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Na souhrnné internetové stránce věnované státní podpoře na celostátní nebo regionální úrovni se zveřejňují (odstavec 1):</w:t>
            </w:r>
          </w:p>
          <w:p w:rsidR="00B54FC3" w:rsidRPr="00B65C94" w:rsidRDefault="00B54FC3" w:rsidP="00B65C94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54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souhrnné informace (viz článek 11) nebo odkaz na tyto informace;</w:t>
            </w:r>
          </w:p>
          <w:p w:rsidR="00B54FC3" w:rsidRPr="00B65C94" w:rsidRDefault="00B54FC3" w:rsidP="00B65C94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54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úplné znění každého opatření podpory (viz článek 11) nebo odkaz umožňující přístup k úplnému znění;</w:t>
            </w:r>
          </w:p>
          <w:p w:rsidR="00B54FC3" w:rsidRPr="00B65C94" w:rsidRDefault="00B54FC3" w:rsidP="00B65C94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54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informace týkající se každého poskytnutí jednotlivé podpory, která přesahuje 500 000 EUR (viz příloha III).</w:t>
            </w:r>
          </w:p>
          <w:p w:rsidR="00B54FC3" w:rsidRPr="00B65C94" w:rsidRDefault="00B54FC3" w:rsidP="00B54FC3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Pokud jde o podporu poskytovanou na projekty Evropské územní spolupráce, informace uvedené v   tomto odstavci se zveřejní na internetových stránkách členského státu, v němž se nachází příslušný řídicí orgán definovaný v článku 21 nařízení Evropského parlamentu a Rady (EU) č. 1299/2013. Zúčastněné členské státy se mohou alternativně rozhodnout, že každý z nich poskytne na příslušných internetových stránkách informace týkající se opatření podpory na svém území.</w:t>
            </w:r>
          </w:p>
          <w:p w:rsidR="00B54FC3" w:rsidRPr="00B65C94" w:rsidRDefault="00B54FC3" w:rsidP="00B65C9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2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V případě režimů v podobě daňových zvýhodnění a režimů, na které se vztahují články 16 a 21 (s výjimkou malých a středních podniků, které na žádném trhu neuskutečnily komerční prodej), se podmínky odst. 1 písm. c) tohoto článku pokládají za splněné v případě, že členský stát zveřejní požadované údaje k výši jednotlivých podpor v následujících rozpětích (v milionech EUR) (odstavec 2):</w:t>
            </w:r>
          </w:p>
          <w:p w:rsidR="00B54FC3" w:rsidRPr="00B65C94" w:rsidRDefault="00B54FC3" w:rsidP="00B65C9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0,5–1,</w:t>
            </w:r>
          </w:p>
          <w:p w:rsidR="00B54FC3" w:rsidRPr="00B65C94" w:rsidRDefault="00B54FC3" w:rsidP="00B65C9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1–2,</w:t>
            </w:r>
          </w:p>
          <w:p w:rsidR="00B54FC3" w:rsidRPr="00B65C94" w:rsidRDefault="00B54FC3" w:rsidP="00B65C9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2–5,</w:t>
            </w:r>
          </w:p>
          <w:p w:rsidR="00B54FC3" w:rsidRPr="00B65C94" w:rsidRDefault="00B54FC3" w:rsidP="00B65C9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5–10,</w:t>
            </w:r>
          </w:p>
          <w:p w:rsidR="00B54FC3" w:rsidRPr="00B65C94" w:rsidRDefault="00B54FC3" w:rsidP="00B65C9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10–30 a</w:t>
            </w:r>
          </w:p>
          <w:p w:rsidR="00B54FC3" w:rsidRPr="00B65C94" w:rsidRDefault="00B54FC3" w:rsidP="00B65C9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30 a více.</w:t>
            </w:r>
          </w:p>
          <w:p w:rsidR="00B54FC3" w:rsidRPr="00B65C94" w:rsidRDefault="00B54FC3" w:rsidP="00B65C9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2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Informace uvedené v odst. 1 písm. c) tohoto článku musí být uspořádány a být přístupné ve standardizovaném formátu (viz příloha III) a musí být možné je efektivně vyhledávat a stahovat. Informace uvedené v odstavci 1 se zveřejní ve lhůtě šesti měsíců od poskytnutí podpory nebo v případě podpory v podobě daňových zvýhodnění ve lhůtě jednoho roku od data, k němuž se předkládá daňové přiznání, a jsou k dispozici po dobu alespoň deseti let ode dne, kdy byla podpora poskytnuta (odstavec 4).</w:t>
            </w:r>
          </w:p>
          <w:p w:rsidR="00B54FC3" w:rsidRPr="00B54FC3" w:rsidRDefault="00B54FC3" w:rsidP="00B65C9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28" w:hanging="28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Členské státy musí dosáhnout souladu s ustanoveními tohoto článku nejpozději do dvou let od vstupu tohoto nařízení v platnost, tj. do 1. července 2016 (odstavec 6).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C3" w:rsidRPr="002B692E" w:rsidRDefault="00B54FC3" w:rsidP="003E5D21">
            <w:pPr>
              <w:rPr>
                <w:sz w:val="22"/>
                <w:szCs w:val="22"/>
              </w:rPr>
            </w:pPr>
          </w:p>
        </w:tc>
      </w:tr>
    </w:tbl>
    <w:p w:rsidR="00B54FC3" w:rsidRDefault="00B54FC3" w:rsidP="008F4926">
      <w:pPr>
        <w:rPr>
          <w:b/>
          <w:sz w:val="22"/>
          <w:szCs w:val="22"/>
        </w:rPr>
      </w:pPr>
    </w:p>
    <w:p w:rsidR="007D461F" w:rsidRPr="008F4926" w:rsidRDefault="007D461F" w:rsidP="008F4926">
      <w:pPr>
        <w:rPr>
          <w:sz w:val="22"/>
          <w:szCs w:val="22"/>
        </w:rPr>
      </w:pPr>
      <w:r>
        <w:rPr>
          <w:b/>
          <w:sz w:val="22"/>
        </w:rPr>
        <w:t>Pokud jde o definice pojmů</w:t>
      </w:r>
      <w:r>
        <w:rPr>
          <w:sz w:val="22"/>
        </w:rPr>
        <w:t>: článek 2 (nepřehlédnout novou definici podniku v obtížích)</w:t>
      </w:r>
    </w:p>
    <w:p w:rsidR="00D64EFF" w:rsidRPr="008F4926" w:rsidRDefault="00D64EFF" w:rsidP="008F4926">
      <w:pPr>
        <w:rPr>
          <w:sz w:val="22"/>
          <w:szCs w:val="22"/>
        </w:rPr>
      </w:pPr>
    </w:p>
    <w:p w:rsidR="007D461F" w:rsidRPr="008F4926" w:rsidRDefault="00B54FC3" w:rsidP="008F4926">
      <w:pPr>
        <w:rPr>
          <w:sz w:val="22"/>
          <w:szCs w:val="22"/>
        </w:rPr>
      </w:pPr>
      <w:r>
        <w:rPr>
          <w:b/>
          <w:sz w:val="22"/>
        </w:rPr>
        <w:t>Podávání zpráv</w:t>
      </w:r>
      <w:r>
        <w:rPr>
          <w:sz w:val="22"/>
        </w:rPr>
        <w:t>: článek 11</w:t>
      </w:r>
    </w:p>
    <w:p w:rsidR="007D461F" w:rsidRPr="008F4926" w:rsidRDefault="007D461F" w:rsidP="008F4926">
      <w:pPr>
        <w:rPr>
          <w:sz w:val="22"/>
          <w:szCs w:val="22"/>
        </w:rPr>
      </w:pPr>
      <w:r>
        <w:rPr>
          <w:b/>
          <w:sz w:val="22"/>
        </w:rPr>
        <w:t>Kontrola:</w:t>
      </w:r>
      <w:r>
        <w:rPr>
          <w:sz w:val="22"/>
        </w:rPr>
        <w:t xml:space="preserve"> článek 12</w:t>
      </w:r>
    </w:p>
    <w:p w:rsidR="007D461F" w:rsidRPr="008F4926" w:rsidRDefault="00DD57E1" w:rsidP="008F4926">
      <w:pPr>
        <w:rPr>
          <w:sz w:val="22"/>
          <w:szCs w:val="22"/>
        </w:rPr>
      </w:pPr>
      <w:r>
        <w:rPr>
          <w:b/>
          <w:sz w:val="22"/>
        </w:rPr>
        <w:t>Odnětí výhody blokové výjimky</w:t>
      </w:r>
      <w:r>
        <w:rPr>
          <w:sz w:val="22"/>
        </w:rPr>
        <w:t>: článek 10</w:t>
      </w:r>
    </w:p>
    <w:p w:rsidR="00F177AC" w:rsidRPr="008F4926" w:rsidRDefault="00F177AC" w:rsidP="008F4926">
      <w:pPr>
        <w:rPr>
          <w:sz w:val="22"/>
          <w:szCs w:val="22"/>
        </w:rPr>
      </w:pPr>
    </w:p>
    <w:p w:rsidR="00003D17" w:rsidRPr="008F4926" w:rsidRDefault="00003D17" w:rsidP="008F4926">
      <w:pPr>
        <w:rPr>
          <w:b/>
          <w:sz w:val="22"/>
          <w:szCs w:val="22"/>
          <w:u w:val="single"/>
        </w:rPr>
      </w:pPr>
      <w:r>
        <w:rPr>
          <w:b/>
          <w:sz w:val="22"/>
          <w:u w:val="single"/>
        </w:rPr>
        <w:t>B. Zvláštní podmínky pro podporu na náhradu škod způsobených některými přírodními pohromami (</w:t>
      </w:r>
      <w:r>
        <w:rPr>
          <w:sz w:val="22"/>
          <w:u w:val="single"/>
        </w:rPr>
        <w:t>zemětřesení, laviny, sesuvy půdy, povodně, tornáda, hurikány, sopečné výbuchy a samovolné lesní požáry</w:t>
      </w:r>
      <w:r>
        <w:rPr>
          <w:b/>
          <w:sz w:val="22"/>
          <w:u w:val="single"/>
        </w:rPr>
        <w:t>)</w:t>
      </w:r>
    </w:p>
    <w:p w:rsidR="00003D17" w:rsidRPr="008F4926" w:rsidRDefault="00003D17" w:rsidP="008F4926">
      <w:pPr>
        <w:rPr>
          <w:sz w:val="22"/>
          <w:szCs w:val="22"/>
        </w:rPr>
      </w:pPr>
    </w:p>
    <w:tbl>
      <w:tblPr>
        <w:tblW w:w="52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6"/>
        <w:gridCol w:w="6753"/>
      </w:tblGrid>
      <w:tr w:rsidR="00895393" w:rsidRPr="008F4926" w:rsidTr="00895393">
        <w:trPr>
          <w:trHeight w:val="145"/>
        </w:trPr>
        <w:tc>
          <w:tcPr>
            <w:tcW w:w="2687" w:type="pct"/>
            <w:tcBorders>
              <w:bottom w:val="single" w:sz="4" w:space="0" w:color="auto"/>
            </w:tcBorders>
            <w:shd w:val="clear" w:color="auto" w:fill="333399"/>
          </w:tcPr>
          <w:p w:rsidR="00890C50" w:rsidRPr="008F4926" w:rsidRDefault="00890C50" w:rsidP="008F4926">
            <w:pPr>
              <w:ind w:left="36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</w:rPr>
              <w:t xml:space="preserve">Článek 50 </w:t>
            </w:r>
          </w:p>
          <w:p w:rsidR="00BB080C" w:rsidRPr="008F4926" w:rsidRDefault="00B843F4" w:rsidP="008F4926">
            <w:pPr>
              <w:ind w:left="36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</w:rPr>
              <w:t>Podpora na náhradu škod způsobených některými přírodními pohromami</w:t>
            </w:r>
          </w:p>
        </w:tc>
        <w:tc>
          <w:tcPr>
            <w:tcW w:w="2313" w:type="pct"/>
            <w:shd w:val="clear" w:color="auto" w:fill="333399"/>
          </w:tcPr>
          <w:p w:rsidR="00BB080C" w:rsidRPr="008F4926" w:rsidRDefault="00BB080C" w:rsidP="008F4926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</w:rPr>
              <w:t>Kontrola souladu (souhlasí?)</w:t>
            </w:r>
          </w:p>
        </w:tc>
      </w:tr>
      <w:tr w:rsidR="00895393" w:rsidRPr="008F4926" w:rsidTr="00895393">
        <w:trPr>
          <w:trHeight w:val="850"/>
        </w:trPr>
        <w:tc>
          <w:tcPr>
            <w:tcW w:w="2687" w:type="pct"/>
            <w:shd w:val="clear" w:color="auto" w:fill="auto"/>
          </w:tcPr>
          <w:p w:rsidR="00890C50" w:rsidRPr="008F4926" w:rsidRDefault="00890C50" w:rsidP="00B65C94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Slučitelná a vyňata z oznamovací povinnosti, pokud platí obecné podmínky slučitelnosti a podmínky stanovené v tomto článku (odstavec 1).</w:t>
            </w:r>
          </w:p>
          <w:p w:rsidR="000A19E8" w:rsidRPr="008F4926" w:rsidRDefault="00206484" w:rsidP="00B65C94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Na poskytnutí podpory se vztahují tyto podmínky (odstavec 2):</w:t>
            </w:r>
          </w:p>
          <w:p w:rsidR="00BB080C" w:rsidRPr="008F4926" w:rsidRDefault="00206484" w:rsidP="00B65C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příslušné orgány veřejné moci členského státu formálně uznaly, že událost má povahu </w:t>
            </w:r>
            <w:r>
              <w:rPr>
                <w:b/>
                <w:sz w:val="22"/>
              </w:rPr>
              <w:t>přírodní pohromy</w:t>
            </w:r>
            <w:r>
              <w:rPr>
                <w:sz w:val="22"/>
              </w:rPr>
              <w:t xml:space="preserve">;  </w:t>
            </w:r>
          </w:p>
          <w:p w:rsidR="00D637C2" w:rsidRPr="008F4926" w:rsidRDefault="00206484" w:rsidP="00B65C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existuje </w:t>
            </w:r>
            <w:r>
              <w:rPr>
                <w:b/>
                <w:sz w:val="22"/>
              </w:rPr>
              <w:t>přímá příčinná souvislost</w:t>
            </w:r>
            <w:r>
              <w:rPr>
                <w:sz w:val="22"/>
              </w:rPr>
              <w:t xml:space="preserve"> mezi přírodní pohromou a škodami, které dotčenému podniku vznikly. </w:t>
            </w:r>
          </w:p>
          <w:p w:rsidR="00BB080C" w:rsidRPr="008F4926" w:rsidRDefault="00206484" w:rsidP="00B65C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Režimy podpory vztahující se na konkrétní přírodní pohromu se zavedou </w:t>
            </w:r>
            <w:r>
              <w:rPr>
                <w:b/>
                <w:sz w:val="22"/>
              </w:rPr>
              <w:t>do tří let</w:t>
            </w:r>
            <w:r>
              <w:rPr>
                <w:sz w:val="22"/>
              </w:rPr>
              <w:t xml:space="preserve"> od doby, kdy k pohromě došlo. Podpora udělená na základě těchto režimů se poskytne do čtyř let od doby, kdy k pohromě došlo (odstavec 3).</w:t>
            </w:r>
          </w:p>
          <w:p w:rsidR="00206484" w:rsidRPr="008F4926" w:rsidRDefault="00206484" w:rsidP="00B65C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Způsobilými náklady jsou </w:t>
            </w:r>
            <w:r>
              <w:rPr>
                <w:b/>
                <w:sz w:val="22"/>
              </w:rPr>
              <w:t>náklady</w:t>
            </w:r>
            <w:r>
              <w:rPr>
                <w:sz w:val="22"/>
              </w:rPr>
              <w:t xml:space="preserve"> související se škodou vzniklou v přímém důsledku přírodní pohromy, které ocení nezávislý odborník uznaný příslušným vnitrostátním orgánem nebo pojišťovnou. Tyto škody mohou zahrnovat škody na majetku, jako např. budovách, vybavení, strojích či zásobách, a ztrátu příjmů v důsledku úplného nebo částečného pozastavení činnosti po dobu nejvýše šesti měsíců od doby, kdy k pohromě došlo. Výpočet škody na majetku vychází z nákladů na opravu nebo z ekonomické hodnoty daného majetku před pohromou. Jeho výsledek nesmí přesáhnout výši nákladů na opravu nebo částku, o níž se v důsledku pohromy snížila reálná tržní hodnota majetku, tj. rozdíl mezi hodnotou majetku bezprostředně před vznikem pohromy a bezprostředně po ní. Ztráta příjmu se vypočte z finančních ukazatelů dotčeného podniku (zisků před úroky a zdaněním (EBIT), odpisů a nákladů na pracovní sílu, které vykazuje provozovna zasažená přírodní pohromou), a to srovnáním finančních ukazatelů za šest měsíců po vzniku pohromy s průměrem tří let zvolených z období pěti let před vznikem pohromy (vyloučí se rok, v němž byl vykázán nejlepší a nejhorší finanční výsledek), a vypočte se za stejné šestiměsíční období roku. Škoda se vypočítává na úrovni jednotlivého příjemce (odstavec 4).</w:t>
            </w:r>
          </w:p>
          <w:p w:rsidR="00206484" w:rsidRPr="008F4926" w:rsidRDefault="00206484" w:rsidP="00B65C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Podpora a všechny ostatní platby obdržené jako náhrada škody, včetně plateb z pojistných smluv, nesmí přesáhnout </w:t>
            </w:r>
            <w:r>
              <w:rPr>
                <w:b/>
                <w:sz w:val="22"/>
              </w:rPr>
              <w:t>100 % způsobilých nákladů</w:t>
            </w:r>
            <w:r>
              <w:rPr>
                <w:sz w:val="22"/>
              </w:rPr>
              <w:t xml:space="preserve"> (odstavec 5).</w:t>
            </w:r>
          </w:p>
        </w:tc>
        <w:tc>
          <w:tcPr>
            <w:tcW w:w="2313" w:type="pct"/>
            <w:shd w:val="clear" w:color="auto" w:fill="auto"/>
          </w:tcPr>
          <w:p w:rsidR="00BB080C" w:rsidRPr="008F4926" w:rsidRDefault="00BB080C" w:rsidP="008F4926">
            <w:pPr>
              <w:rPr>
                <w:sz w:val="22"/>
                <w:szCs w:val="22"/>
              </w:rPr>
            </w:pPr>
          </w:p>
        </w:tc>
      </w:tr>
    </w:tbl>
    <w:p w:rsidR="009F52DA" w:rsidRPr="008F4926" w:rsidRDefault="009F52DA" w:rsidP="008F4926">
      <w:pPr>
        <w:rPr>
          <w:b/>
          <w:sz w:val="22"/>
          <w:szCs w:val="22"/>
          <w:u w:val="single"/>
        </w:rPr>
      </w:pPr>
    </w:p>
    <w:p w:rsidR="00A67375" w:rsidRPr="008F4926" w:rsidRDefault="00A67375" w:rsidP="008F4926">
      <w:pPr>
        <w:rPr>
          <w:sz w:val="22"/>
          <w:szCs w:val="22"/>
        </w:rPr>
      </w:pPr>
    </w:p>
    <w:sectPr w:rsidR="00A67375" w:rsidRPr="008F4926" w:rsidSect="009455A9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81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F8" w:rsidRDefault="004711F8">
      <w:r>
        <w:separator/>
      </w:r>
    </w:p>
  </w:endnote>
  <w:endnote w:type="continuationSeparator" w:id="0">
    <w:p w:rsidR="004711F8" w:rsidRDefault="0047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A9" w:rsidRDefault="009455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4F80">
      <w:rPr>
        <w:noProof/>
      </w:rPr>
      <w:t>2</w:t>
    </w:r>
    <w:r>
      <w:rPr>
        <w:noProof/>
      </w:rPr>
      <w:fldChar w:fldCharType="end"/>
    </w:r>
  </w:p>
  <w:p w:rsidR="009455A9" w:rsidRDefault="00945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A9" w:rsidRPr="009455A9" w:rsidRDefault="009455A9">
    <w:pPr>
      <w:pStyle w:val="Footer"/>
    </w:pPr>
    <w:r>
      <w:t>červen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F8" w:rsidRDefault="004711F8">
      <w:r>
        <w:separator/>
      </w:r>
    </w:p>
  </w:footnote>
  <w:footnote w:type="continuationSeparator" w:id="0">
    <w:p w:rsidR="004711F8" w:rsidRDefault="0047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A9" w:rsidRDefault="008651A9" w:rsidP="008651A9">
    <w:pPr>
      <w:autoSpaceDE w:val="0"/>
      <w:autoSpaceDN w:val="0"/>
      <w:ind w:right="-567"/>
      <w:jc w:val="both"/>
      <w:rPr>
        <w:b/>
        <w:bCs/>
        <w:noProof/>
        <w:snapToGrid w:val="0"/>
        <w:color w:val="000000"/>
        <w:u w:val="single"/>
      </w:rPr>
    </w:pPr>
    <w:r>
      <w:rPr>
        <w:b/>
        <w:noProof/>
        <w:snapToGrid w:val="0"/>
        <w:color w:val="000000"/>
        <w:u w:val="single"/>
      </w:rPr>
      <w:t>UPOZORNĚNÍ</w:t>
    </w:r>
  </w:p>
  <w:p w:rsidR="008651A9" w:rsidRPr="008651A9" w:rsidRDefault="008651A9" w:rsidP="008651A9">
    <w:pPr>
      <w:autoSpaceDE w:val="0"/>
      <w:autoSpaceDN w:val="0"/>
      <w:ind w:right="-567"/>
      <w:jc w:val="both"/>
      <w:rPr>
        <w:noProof/>
        <w:snapToGrid w:val="0"/>
        <w:color w:val="000000"/>
      </w:rPr>
    </w:pPr>
  </w:p>
  <w:p w:rsidR="001D1789" w:rsidRDefault="004A30C5" w:rsidP="008651A9">
    <w:pPr>
      <w:ind w:left="720"/>
      <w:jc w:val="both"/>
      <w:rPr>
        <w:rFonts w:cs="Calibri"/>
        <w:b/>
        <w:i/>
      </w:rPr>
    </w:pPr>
    <w:r>
      <w:rPr>
        <w:b/>
        <w:i/>
      </w:rPr>
      <w:t>Tento kontrolní seznam není úředním dokumentem Evropské komise. Ačkoli může představovat užitečný doplňující nástroj pro uplatňování nařízení Komise č. 651/2014 ze dne 17. června 2014 (obecné nařízení o blokových výjimkách), nenahrazuje toto nařízení, naopak plné dodržování ustanovení tohoto nařízení zůstává jediným způsobem, jak využít vynětí z oznamovací povinnosti, které poskytuje.</w:t>
    </w:r>
  </w:p>
  <w:p w:rsidR="006F6285" w:rsidRPr="001D1789" w:rsidRDefault="006F6285" w:rsidP="008651A9">
    <w:pPr>
      <w:ind w:left="720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A9" w:rsidRDefault="009455A9" w:rsidP="009455A9">
    <w:pPr>
      <w:autoSpaceDE w:val="0"/>
      <w:autoSpaceDN w:val="0"/>
      <w:ind w:right="-567"/>
      <w:jc w:val="both"/>
      <w:rPr>
        <w:b/>
        <w:bCs/>
        <w:noProof/>
        <w:snapToGrid w:val="0"/>
        <w:color w:val="000000"/>
        <w:u w:val="single"/>
      </w:rPr>
    </w:pPr>
    <w:r>
      <w:rPr>
        <w:b/>
        <w:noProof/>
        <w:snapToGrid w:val="0"/>
        <w:color w:val="000000"/>
        <w:u w:val="single"/>
      </w:rPr>
      <w:t>UPOZORNĚNÍ</w:t>
    </w:r>
  </w:p>
  <w:p w:rsidR="009455A9" w:rsidRPr="008651A9" w:rsidRDefault="009455A9" w:rsidP="009455A9">
    <w:pPr>
      <w:autoSpaceDE w:val="0"/>
      <w:autoSpaceDN w:val="0"/>
      <w:ind w:right="-567"/>
      <w:jc w:val="both"/>
      <w:rPr>
        <w:noProof/>
        <w:snapToGrid w:val="0"/>
        <w:color w:val="000000"/>
      </w:rPr>
    </w:pPr>
  </w:p>
  <w:p w:rsidR="009455A9" w:rsidRDefault="009455A9" w:rsidP="009455A9">
    <w:pPr>
      <w:ind w:left="720"/>
      <w:jc w:val="both"/>
      <w:rPr>
        <w:rFonts w:cs="Calibri"/>
        <w:b/>
        <w:i/>
      </w:rPr>
    </w:pPr>
    <w:r>
      <w:rPr>
        <w:b/>
        <w:i/>
      </w:rPr>
      <w:t>Tento kontrolní seznam není úředním dokumentem Evropské komise. Ačkoli může představovat užitečný doplňující nástroj pro uplatňování nařízení Komise č. 651/2014 ze dne 17. června 2014 (obecné nařízení o blokových výjimkách), nenahrazuje toto nařízení, naopak plné dodržování ustanovení tohoto nařízení zůstává jediným způsobem, jak využít vynětí z oznamovací povinnosti, které poskytuje.</w:t>
    </w:r>
  </w:p>
  <w:p w:rsidR="009455A9" w:rsidRDefault="00945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66E"/>
    <w:multiLevelType w:val="hybridMultilevel"/>
    <w:tmpl w:val="95E2A0A0"/>
    <w:lvl w:ilvl="0" w:tplc="531A6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B62E5"/>
    <w:multiLevelType w:val="hybridMultilevel"/>
    <w:tmpl w:val="E36665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5078"/>
    <w:multiLevelType w:val="hybridMultilevel"/>
    <w:tmpl w:val="6EBA58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C574B1"/>
    <w:multiLevelType w:val="hybridMultilevel"/>
    <w:tmpl w:val="0F385C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642CE"/>
    <w:multiLevelType w:val="hybridMultilevel"/>
    <w:tmpl w:val="8418E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4656B7"/>
    <w:multiLevelType w:val="hybridMultilevel"/>
    <w:tmpl w:val="A2AC4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F4D52"/>
    <w:multiLevelType w:val="hybridMultilevel"/>
    <w:tmpl w:val="2C10C468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20C27"/>
    <w:multiLevelType w:val="hybridMultilevel"/>
    <w:tmpl w:val="B5B6BA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3D12C9"/>
    <w:multiLevelType w:val="hybridMultilevel"/>
    <w:tmpl w:val="9704F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09397E"/>
    <w:multiLevelType w:val="hybridMultilevel"/>
    <w:tmpl w:val="B98EF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C25C8"/>
    <w:multiLevelType w:val="hybridMultilevel"/>
    <w:tmpl w:val="2038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26EAF"/>
    <w:multiLevelType w:val="hybridMultilevel"/>
    <w:tmpl w:val="F5B496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94446C"/>
    <w:multiLevelType w:val="hybridMultilevel"/>
    <w:tmpl w:val="65C6C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064B4"/>
    <w:multiLevelType w:val="hybridMultilevel"/>
    <w:tmpl w:val="26945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447C67"/>
    <w:multiLevelType w:val="hybridMultilevel"/>
    <w:tmpl w:val="335CD2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14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D461F"/>
    <w:rsid w:val="00003443"/>
    <w:rsid w:val="00003D17"/>
    <w:rsid w:val="000307FC"/>
    <w:rsid w:val="000372A4"/>
    <w:rsid w:val="0004275D"/>
    <w:rsid w:val="00045763"/>
    <w:rsid w:val="00045C91"/>
    <w:rsid w:val="00047DB1"/>
    <w:rsid w:val="000550A4"/>
    <w:rsid w:val="00066155"/>
    <w:rsid w:val="000729AA"/>
    <w:rsid w:val="0007495E"/>
    <w:rsid w:val="00085359"/>
    <w:rsid w:val="000934FB"/>
    <w:rsid w:val="000969AA"/>
    <w:rsid w:val="0009762A"/>
    <w:rsid w:val="000A0383"/>
    <w:rsid w:val="000A19E8"/>
    <w:rsid w:val="000A2636"/>
    <w:rsid w:val="000B0C62"/>
    <w:rsid w:val="000C51C2"/>
    <w:rsid w:val="000E10AB"/>
    <w:rsid w:val="000E4DAE"/>
    <w:rsid w:val="000F1FCD"/>
    <w:rsid w:val="000F2C08"/>
    <w:rsid w:val="000F75EF"/>
    <w:rsid w:val="0012665D"/>
    <w:rsid w:val="0013556A"/>
    <w:rsid w:val="00166821"/>
    <w:rsid w:val="00176DBE"/>
    <w:rsid w:val="00180EAA"/>
    <w:rsid w:val="001B05F1"/>
    <w:rsid w:val="001B4E1A"/>
    <w:rsid w:val="001C0C3A"/>
    <w:rsid w:val="001D0FD1"/>
    <w:rsid w:val="001D1789"/>
    <w:rsid w:val="001F26DA"/>
    <w:rsid w:val="001F48D0"/>
    <w:rsid w:val="00206484"/>
    <w:rsid w:val="0020708C"/>
    <w:rsid w:val="00221B84"/>
    <w:rsid w:val="00222F1C"/>
    <w:rsid w:val="00231553"/>
    <w:rsid w:val="002367CF"/>
    <w:rsid w:val="002427AF"/>
    <w:rsid w:val="002470A3"/>
    <w:rsid w:val="00275069"/>
    <w:rsid w:val="0028414B"/>
    <w:rsid w:val="00291068"/>
    <w:rsid w:val="002920BD"/>
    <w:rsid w:val="00293736"/>
    <w:rsid w:val="002B3E57"/>
    <w:rsid w:val="002B4358"/>
    <w:rsid w:val="002B4CA9"/>
    <w:rsid w:val="002B54DF"/>
    <w:rsid w:val="002B5E2B"/>
    <w:rsid w:val="002D4CC4"/>
    <w:rsid w:val="002E3BB9"/>
    <w:rsid w:val="00307511"/>
    <w:rsid w:val="00311BDC"/>
    <w:rsid w:val="00321646"/>
    <w:rsid w:val="00335128"/>
    <w:rsid w:val="00336EAF"/>
    <w:rsid w:val="00337965"/>
    <w:rsid w:val="00356870"/>
    <w:rsid w:val="00360F45"/>
    <w:rsid w:val="0037514B"/>
    <w:rsid w:val="0037615F"/>
    <w:rsid w:val="00397EC8"/>
    <w:rsid w:val="003A0DE8"/>
    <w:rsid w:val="003A34CB"/>
    <w:rsid w:val="003A70AE"/>
    <w:rsid w:val="003B745C"/>
    <w:rsid w:val="003D41BA"/>
    <w:rsid w:val="003E0049"/>
    <w:rsid w:val="003E00A3"/>
    <w:rsid w:val="003E4E9D"/>
    <w:rsid w:val="003E5D21"/>
    <w:rsid w:val="003F62E6"/>
    <w:rsid w:val="003F7596"/>
    <w:rsid w:val="00400566"/>
    <w:rsid w:val="00421231"/>
    <w:rsid w:val="0042261F"/>
    <w:rsid w:val="0042377F"/>
    <w:rsid w:val="00424808"/>
    <w:rsid w:val="004412F5"/>
    <w:rsid w:val="004452B6"/>
    <w:rsid w:val="0045170D"/>
    <w:rsid w:val="004526C8"/>
    <w:rsid w:val="004618BB"/>
    <w:rsid w:val="00461A7C"/>
    <w:rsid w:val="004711F8"/>
    <w:rsid w:val="004745B1"/>
    <w:rsid w:val="00481FD8"/>
    <w:rsid w:val="00485C2C"/>
    <w:rsid w:val="004A30C5"/>
    <w:rsid w:val="004B7EF7"/>
    <w:rsid w:val="004D0D76"/>
    <w:rsid w:val="004F201B"/>
    <w:rsid w:val="004F6330"/>
    <w:rsid w:val="00502676"/>
    <w:rsid w:val="00513516"/>
    <w:rsid w:val="00531692"/>
    <w:rsid w:val="00534552"/>
    <w:rsid w:val="005442C1"/>
    <w:rsid w:val="00554D95"/>
    <w:rsid w:val="00557283"/>
    <w:rsid w:val="00571298"/>
    <w:rsid w:val="005875CA"/>
    <w:rsid w:val="00590DF5"/>
    <w:rsid w:val="00593387"/>
    <w:rsid w:val="0059608C"/>
    <w:rsid w:val="005B598E"/>
    <w:rsid w:val="005E23C6"/>
    <w:rsid w:val="005E7699"/>
    <w:rsid w:val="005F14EC"/>
    <w:rsid w:val="0061207C"/>
    <w:rsid w:val="0061345C"/>
    <w:rsid w:val="006149DC"/>
    <w:rsid w:val="006155AB"/>
    <w:rsid w:val="00620255"/>
    <w:rsid w:val="00624BDF"/>
    <w:rsid w:val="00626599"/>
    <w:rsid w:val="0063569E"/>
    <w:rsid w:val="00654CC5"/>
    <w:rsid w:val="00660ED7"/>
    <w:rsid w:val="00663D78"/>
    <w:rsid w:val="0066573A"/>
    <w:rsid w:val="0067010A"/>
    <w:rsid w:val="00674F49"/>
    <w:rsid w:val="00682CD5"/>
    <w:rsid w:val="00696155"/>
    <w:rsid w:val="006B1C81"/>
    <w:rsid w:val="006C6F39"/>
    <w:rsid w:val="006D137E"/>
    <w:rsid w:val="006D612B"/>
    <w:rsid w:val="006E1F72"/>
    <w:rsid w:val="006E53BD"/>
    <w:rsid w:val="006F6285"/>
    <w:rsid w:val="0070535F"/>
    <w:rsid w:val="00706E77"/>
    <w:rsid w:val="00761D21"/>
    <w:rsid w:val="0077008F"/>
    <w:rsid w:val="00773F1E"/>
    <w:rsid w:val="00783CA1"/>
    <w:rsid w:val="0079018B"/>
    <w:rsid w:val="007A2C05"/>
    <w:rsid w:val="007B0B68"/>
    <w:rsid w:val="007B6E14"/>
    <w:rsid w:val="007C4733"/>
    <w:rsid w:val="007D461F"/>
    <w:rsid w:val="007D6D47"/>
    <w:rsid w:val="007E0F18"/>
    <w:rsid w:val="007E1A2F"/>
    <w:rsid w:val="007F572A"/>
    <w:rsid w:val="00801247"/>
    <w:rsid w:val="00803129"/>
    <w:rsid w:val="00832DAB"/>
    <w:rsid w:val="00842CFA"/>
    <w:rsid w:val="008476F4"/>
    <w:rsid w:val="00852C3B"/>
    <w:rsid w:val="00856814"/>
    <w:rsid w:val="008651A9"/>
    <w:rsid w:val="00867005"/>
    <w:rsid w:val="00883DFF"/>
    <w:rsid w:val="00885BB0"/>
    <w:rsid w:val="00890C50"/>
    <w:rsid w:val="00895393"/>
    <w:rsid w:val="008A3AC1"/>
    <w:rsid w:val="008A3D6A"/>
    <w:rsid w:val="008B33CE"/>
    <w:rsid w:val="008C1495"/>
    <w:rsid w:val="008C5BB2"/>
    <w:rsid w:val="008D3D7C"/>
    <w:rsid w:val="008F28E4"/>
    <w:rsid w:val="008F3609"/>
    <w:rsid w:val="008F4926"/>
    <w:rsid w:val="008F661C"/>
    <w:rsid w:val="008F7532"/>
    <w:rsid w:val="008F79F4"/>
    <w:rsid w:val="00920585"/>
    <w:rsid w:val="0092466F"/>
    <w:rsid w:val="00931208"/>
    <w:rsid w:val="00944377"/>
    <w:rsid w:val="009455A9"/>
    <w:rsid w:val="00947544"/>
    <w:rsid w:val="0095164F"/>
    <w:rsid w:val="0095335C"/>
    <w:rsid w:val="00960792"/>
    <w:rsid w:val="00977A9A"/>
    <w:rsid w:val="00981AB9"/>
    <w:rsid w:val="00986F2B"/>
    <w:rsid w:val="00991733"/>
    <w:rsid w:val="00994B7C"/>
    <w:rsid w:val="00995DBB"/>
    <w:rsid w:val="009B0CDD"/>
    <w:rsid w:val="009C13FD"/>
    <w:rsid w:val="009E14D9"/>
    <w:rsid w:val="009F0902"/>
    <w:rsid w:val="009F52DA"/>
    <w:rsid w:val="00A21C2F"/>
    <w:rsid w:val="00A2428C"/>
    <w:rsid w:val="00A24976"/>
    <w:rsid w:val="00A404CF"/>
    <w:rsid w:val="00A415C5"/>
    <w:rsid w:val="00A43E85"/>
    <w:rsid w:val="00A46329"/>
    <w:rsid w:val="00A46614"/>
    <w:rsid w:val="00A6604D"/>
    <w:rsid w:val="00A67375"/>
    <w:rsid w:val="00A8428A"/>
    <w:rsid w:val="00A8762D"/>
    <w:rsid w:val="00AA37CE"/>
    <w:rsid w:val="00AA6116"/>
    <w:rsid w:val="00AA779E"/>
    <w:rsid w:val="00AB1D4E"/>
    <w:rsid w:val="00AB6771"/>
    <w:rsid w:val="00AB7838"/>
    <w:rsid w:val="00AB7FD4"/>
    <w:rsid w:val="00AC1C17"/>
    <w:rsid w:val="00AC39C3"/>
    <w:rsid w:val="00AC4476"/>
    <w:rsid w:val="00AD2B50"/>
    <w:rsid w:val="00AE1488"/>
    <w:rsid w:val="00AE213E"/>
    <w:rsid w:val="00AE56FC"/>
    <w:rsid w:val="00B10125"/>
    <w:rsid w:val="00B106C8"/>
    <w:rsid w:val="00B150CF"/>
    <w:rsid w:val="00B30D2A"/>
    <w:rsid w:val="00B4159B"/>
    <w:rsid w:val="00B46C58"/>
    <w:rsid w:val="00B54FC3"/>
    <w:rsid w:val="00B55BDD"/>
    <w:rsid w:val="00B65C94"/>
    <w:rsid w:val="00B70C80"/>
    <w:rsid w:val="00B843F4"/>
    <w:rsid w:val="00B87F87"/>
    <w:rsid w:val="00B94558"/>
    <w:rsid w:val="00BA710B"/>
    <w:rsid w:val="00BB06AE"/>
    <w:rsid w:val="00BB080C"/>
    <w:rsid w:val="00BB2CA7"/>
    <w:rsid w:val="00BC780C"/>
    <w:rsid w:val="00BD3F80"/>
    <w:rsid w:val="00BE0C41"/>
    <w:rsid w:val="00BE13EB"/>
    <w:rsid w:val="00BF3C31"/>
    <w:rsid w:val="00BF4423"/>
    <w:rsid w:val="00C02DD6"/>
    <w:rsid w:val="00C032F5"/>
    <w:rsid w:val="00C12FD6"/>
    <w:rsid w:val="00C146A4"/>
    <w:rsid w:val="00C400E7"/>
    <w:rsid w:val="00C4593E"/>
    <w:rsid w:val="00C510B9"/>
    <w:rsid w:val="00C5368A"/>
    <w:rsid w:val="00C56922"/>
    <w:rsid w:val="00C615C4"/>
    <w:rsid w:val="00C62BFC"/>
    <w:rsid w:val="00C64EBE"/>
    <w:rsid w:val="00C71B8F"/>
    <w:rsid w:val="00C869CE"/>
    <w:rsid w:val="00C93DBE"/>
    <w:rsid w:val="00CA2F50"/>
    <w:rsid w:val="00CB12B9"/>
    <w:rsid w:val="00CB55F1"/>
    <w:rsid w:val="00CD5054"/>
    <w:rsid w:val="00CE25D0"/>
    <w:rsid w:val="00CE58B8"/>
    <w:rsid w:val="00CE73F7"/>
    <w:rsid w:val="00CF7085"/>
    <w:rsid w:val="00D177B0"/>
    <w:rsid w:val="00D30804"/>
    <w:rsid w:val="00D324A5"/>
    <w:rsid w:val="00D3640F"/>
    <w:rsid w:val="00D40C63"/>
    <w:rsid w:val="00D42B4C"/>
    <w:rsid w:val="00D432C8"/>
    <w:rsid w:val="00D435B4"/>
    <w:rsid w:val="00D44F34"/>
    <w:rsid w:val="00D51612"/>
    <w:rsid w:val="00D53F45"/>
    <w:rsid w:val="00D55F5A"/>
    <w:rsid w:val="00D637C2"/>
    <w:rsid w:val="00D64EFF"/>
    <w:rsid w:val="00D807E0"/>
    <w:rsid w:val="00DA2706"/>
    <w:rsid w:val="00DA4C3C"/>
    <w:rsid w:val="00DB569B"/>
    <w:rsid w:val="00DD57E1"/>
    <w:rsid w:val="00DE1EEC"/>
    <w:rsid w:val="00DE2A41"/>
    <w:rsid w:val="00DE6449"/>
    <w:rsid w:val="00DE6687"/>
    <w:rsid w:val="00DE7770"/>
    <w:rsid w:val="00E002A5"/>
    <w:rsid w:val="00E155E4"/>
    <w:rsid w:val="00E158B2"/>
    <w:rsid w:val="00E25E2E"/>
    <w:rsid w:val="00E351CB"/>
    <w:rsid w:val="00E37A77"/>
    <w:rsid w:val="00E57D5E"/>
    <w:rsid w:val="00E649EB"/>
    <w:rsid w:val="00E7165A"/>
    <w:rsid w:val="00E71C38"/>
    <w:rsid w:val="00EA0570"/>
    <w:rsid w:val="00EA5920"/>
    <w:rsid w:val="00EA594D"/>
    <w:rsid w:val="00EA7B22"/>
    <w:rsid w:val="00EC3C1E"/>
    <w:rsid w:val="00EC4F80"/>
    <w:rsid w:val="00ED5B7F"/>
    <w:rsid w:val="00EE3961"/>
    <w:rsid w:val="00EE4443"/>
    <w:rsid w:val="00EF14CC"/>
    <w:rsid w:val="00EF4AEC"/>
    <w:rsid w:val="00EF7825"/>
    <w:rsid w:val="00F0671F"/>
    <w:rsid w:val="00F1470E"/>
    <w:rsid w:val="00F16C18"/>
    <w:rsid w:val="00F177AC"/>
    <w:rsid w:val="00F24F5B"/>
    <w:rsid w:val="00F26421"/>
    <w:rsid w:val="00F27FDA"/>
    <w:rsid w:val="00F35FBA"/>
    <w:rsid w:val="00F47FF9"/>
    <w:rsid w:val="00F50360"/>
    <w:rsid w:val="00F6027A"/>
    <w:rsid w:val="00F64838"/>
    <w:rsid w:val="00F83023"/>
    <w:rsid w:val="00F856AA"/>
    <w:rsid w:val="00F94125"/>
    <w:rsid w:val="00FA31F4"/>
    <w:rsid w:val="00FA329D"/>
    <w:rsid w:val="00FB1D1F"/>
    <w:rsid w:val="00FB406D"/>
    <w:rsid w:val="00FB4961"/>
    <w:rsid w:val="00FB562F"/>
    <w:rsid w:val="00FC2D31"/>
    <w:rsid w:val="00FC42D8"/>
    <w:rsid w:val="00FD2944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D461F"/>
    <w:rPr>
      <w:sz w:val="20"/>
      <w:szCs w:val="20"/>
    </w:rPr>
  </w:style>
  <w:style w:type="character" w:styleId="FootnoteReference">
    <w:name w:val="footnote reference"/>
    <w:semiHidden/>
    <w:rsid w:val="007D461F"/>
    <w:rPr>
      <w:vertAlign w:val="superscript"/>
    </w:rPr>
  </w:style>
  <w:style w:type="paragraph" w:styleId="BalloonText">
    <w:name w:val="Balloon Text"/>
    <w:basedOn w:val="Normal"/>
    <w:link w:val="BalloonTextChar"/>
    <w:rsid w:val="00F14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470E"/>
    <w:rPr>
      <w:rFonts w:ascii="Tahoma" w:hAnsi="Tahoma" w:cs="Tahoma"/>
      <w:sz w:val="16"/>
      <w:szCs w:val="16"/>
      <w:lang w:eastAsia="cs-CZ"/>
    </w:rPr>
  </w:style>
  <w:style w:type="paragraph" w:styleId="Revision">
    <w:name w:val="Revision"/>
    <w:hidden/>
    <w:uiPriority w:val="99"/>
    <w:semiHidden/>
    <w:rsid w:val="00003D1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D17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D1789"/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1D17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D1789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3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7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4706-50DE-4128-A9BC-1088ED1B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1707</Words>
  <Characters>8811</Characters>
  <Application>Microsoft Office Word</Application>
  <DocSecurity>0</DocSecurity>
  <Lines>200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block exemption Regulation (Reg</vt:lpstr>
    </vt:vector>
  </TitlesOfParts>
  <Company>European Commission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block exemption Regulation (Reg</dc:title>
  <dc:subject/>
  <dc:creator>Stephanie Nieuwbourg</dc:creator>
  <cp:keywords/>
  <cp:lastModifiedBy>MAZANCOVA Dagmar (DGT)</cp:lastModifiedBy>
  <cp:revision>3</cp:revision>
  <cp:lastPrinted>2015-01-23T08:21:00Z</cp:lastPrinted>
  <dcterms:created xsi:type="dcterms:W3CDTF">2015-08-20T09:58:00Z</dcterms:created>
  <dcterms:modified xsi:type="dcterms:W3CDTF">2015-08-27T11:23:00Z</dcterms:modified>
</cp:coreProperties>
</file>